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rPr/>
      </w:pPr>
      <w:r>
        <w:rPr/>
        <w:t>Fágun – Skýrsla stjórnar 2014</w:t>
      </w:r>
    </w:p>
    <w:p>
      <w:pPr>
        <w:pStyle w:val="Normal"/>
        <w:rPr/>
      </w:pPr>
      <w:r>
        <w:rPr/>
      </w:r>
    </w:p>
    <w:p>
      <w:pPr>
        <w:pStyle w:val="Normal"/>
        <w:rPr/>
      </w:pPr>
      <w:r>
        <w:rPr/>
      </w:r>
    </w:p>
    <w:p>
      <w:pPr>
        <w:pStyle w:val="Normal"/>
        <w:rPr/>
      </w:pPr>
      <w:r>
        <w:rPr/>
        <w:t xml:space="preserve">Aðalfundur Fágunar 2014 var haldinn 23. maí 2014. Á fundinum var kosin þriggja manna stjórn: Sigurður (æpíei) formaður, Ásta (astaosk) gjaldkeri og Karl (karlp) ritari. Samþykktar voru nokkrar lagabreytingar. Sú helsta var að rekstrarárinu var breytt þannig að það er nú almanaksárið í stað milli aðalfunda áður er haldnir voru í apríl. Þetta þýddi að starfsárið 2014 yrði styttra en venjulega. Í því ljósi var ákveðið að félagsgjöldin 2014 skyldu vera helmingur fulls árgjalds eða 2500 krónur. </w:t>
      </w:r>
    </w:p>
    <w:p>
      <w:pPr>
        <w:pStyle w:val="Normal"/>
        <w:rPr/>
      </w:pPr>
      <w:r>
        <w:rPr/>
      </w:r>
    </w:p>
    <w:p>
      <w:pPr>
        <w:pStyle w:val="Normal"/>
        <w:rPr/>
      </w:pPr>
      <w:r>
        <w:rPr/>
        <w:t xml:space="preserve">Ágætlega gekk að innheimta félagsgjöld. Alls greiddu 46 manns félagsgjöld 2014. Tekjur vegna félagsgjalda voru því 115.000 kr. </w:t>
      </w:r>
    </w:p>
    <w:p>
      <w:pPr>
        <w:pStyle w:val="Normal"/>
        <w:rPr/>
      </w:pPr>
      <w:r>
        <w:rPr/>
      </w:r>
    </w:p>
    <w:p>
      <w:pPr>
        <w:pStyle w:val="Normal"/>
        <w:rPr/>
      </w:pPr>
      <w:r>
        <w:rPr/>
        <w:t>Félagið hélt mánaðarlega fundi á Hlemmi Square hostel og bar. Mæting á þá var yfirleitt ágæt, en þó upp og ofan eins og gengur</w:t>
      </w:r>
      <w:bookmarkStart w:id="0" w:name="_GoBack"/>
      <w:bookmarkEnd w:id="0"/>
      <w:r>
        <w:rPr/>
        <w:t>. Starfsfólk Hlemms Square var mjög jákvætt í garð Fágunar og vildi greiða garð okkur sem best. Í því skyni veittu þeir félagsmönnum Fágunar 25% afslátt af öllum veitingum á barnum gegn framvísun félagsskírteina. Stjórnin lét því útbúa félagsskírtini og voru þau þannig gerð að hægt er að notað þau í mörg ár.</w:t>
      </w:r>
    </w:p>
    <w:p>
      <w:pPr>
        <w:pStyle w:val="Normal"/>
        <w:rPr/>
      </w:pPr>
      <w:r>
        <w:rPr/>
      </w:r>
    </w:p>
    <w:p>
      <w:pPr>
        <w:pStyle w:val="Normal"/>
        <w:rPr/>
      </w:pPr>
      <w:r>
        <w:rPr/>
        <w:t xml:space="preserve">Sú </w:t>
      </w:r>
      <w:r>
        <w:rPr>
          <w:lang w:val="is-IS"/>
        </w:rPr>
        <w:t xml:space="preserve">nýbreytni </w:t>
      </w:r>
      <w:r>
        <w:rPr/>
        <w:t xml:space="preserve">var tekin upp á mánaðarfundunum að flytja fræðsluerindi um eitt og annað sem viðkemur bruggun og gerjun. Erindin fjölluðu um ýmis og fjölbreytt efni, t.d. umfjöllun um ákveðna bjórstíla, svo sem súra, brettaða og session bjóra, sögu og tilurð jólabjórsins, og einnig tæknilegri málefni eins og notkun kúta og kolsýru, og hvernig gera á segulhrærur og gera gerstartera. Var þessari </w:t>
      </w:r>
      <w:r>
        <w:rPr>
          <w:lang w:val="is-IS"/>
        </w:rPr>
        <w:t xml:space="preserve">nýbreytni </w:t>
      </w:r>
      <w:r>
        <w:rPr/>
        <w:t>vel tekið af fundargestum. Þó fór full rúta af félagsmönnum suður í Keflavík á fund í október í skúrinn hans Rúnars. Það var einstaklega skemmtilegt að vanda. Feðgarnir sýndu þar sínar heimasmíðu brugggræjur sem hafa vakið verðskuldaða athygli og aðdáun víða.</w:t>
      </w:r>
    </w:p>
    <w:p>
      <w:pPr>
        <w:pStyle w:val="Normal"/>
        <w:rPr/>
      </w:pPr>
      <w:r>
        <w:rPr/>
      </w:r>
    </w:p>
    <w:p>
      <w:pPr>
        <w:pStyle w:val="Normal"/>
        <w:rPr/>
      </w:pPr>
      <w:r>
        <w:rPr/>
        <w:t>Félagið fór í 3 heimsóknir á árinu. Þann 14. júní fór hópur í heimsókn í Eimverk í Garðabæ. Þau framleiða Flóka viskí og Vor gin. Þá var heimsókn í Brugghús Steðja í Borgarfirði þann 13. september. Um 20 manns fóru í þá ferð, fengu leiðsögn um brugghúsið og fengu að smakka á bjórum sem þeir gera. Loks fór Fágun í heimsókn í Haugen Gruppen þan 24. október. Þar fengum við kynnngu á þeim bjórum sem þeir flytja inn, gerðum blint smakk á þeim og fræddumst ýmislegt um þá.</w:t>
      </w:r>
    </w:p>
    <w:p>
      <w:pPr>
        <w:pStyle w:val="Normal"/>
        <w:rPr/>
      </w:pPr>
      <w:r>
        <w:rPr/>
      </w:r>
    </w:p>
    <w:p>
      <w:pPr>
        <w:pStyle w:val="Normal"/>
        <w:rPr/>
      </w:pPr>
      <w:r>
        <w:rPr/>
        <w:t>Kútapartý Fágunar á Menningarnótt var haldið að vana. Veður lék við okkur og mæting var mjög góð. Við vorum með alls 7 til 8 kúta og kláruðust þeir að mestu. Þessi viðburður er klárlega kominn á dagskrá hjá mörgum og fastur punktur í hátíðarhöldum Menningarnætur.</w:t>
      </w:r>
    </w:p>
    <w:p>
      <w:pPr>
        <w:pStyle w:val="Normal"/>
        <w:rPr/>
      </w:pPr>
      <w:r>
        <w:rPr/>
      </w:r>
    </w:p>
    <w:p>
      <w:pPr>
        <w:pStyle w:val="Normal"/>
        <w:rPr/>
      </w:pPr>
      <w:r>
        <w:rPr/>
        <w:t>Engin stór bruggkeppni var haldin á þessu rekstrarári vegna breytingarinnar á rekstrarárinu sem áður var nefnd. Fágun stóð hins vegar fyrir minni bruggkeppni á Gorhátíð sem haldin var í Friðarhúsinu þann 15. nóvember. Keppnin var haldin í samvinnu við brugghús Steðja og skyldi verðlaunabjórinn bruggaður af vinningshafanum hjá Steðja og hann seldur sem páskabjór Steðja 2015. Er þetta í fyrsta sinn sem slíkt býðst heimabruggara hér á landi. Skemmst er frá því að segja að þátttaka olli vonbrigðum. Einungis 5 manns tóku þátt með alls 6 mismundandi bjórum. Sigurvegarinn var Guðmundur Karl með April-Bock bjór sinn. Var hann vel að sigrinum kominn og fékk bjórinn mjög fróm viðbrögð frá bæði dómnefndum og gestum Gorhátíðarinnar sem voru um 20. Það verður spennandi að fá að smakka þennan bjór þegar hann kemur í sölu í verslunum ÁTVR um páskana 2015.</w:t>
      </w:r>
    </w:p>
    <w:p>
      <w:pPr>
        <w:pStyle w:val="Normal"/>
        <w:rPr/>
      </w:pPr>
      <w:r>
        <w:rPr/>
      </w:r>
    </w:p>
    <w:p>
      <w:pPr>
        <w:pStyle w:val="Normal"/>
        <w:rPr/>
      </w:pPr>
      <w:r>
        <w:rPr/>
        <w:t xml:space="preserve">Á aðalfundi 2014 var lögum félagsins breytt talsvert eins og áður greinir. Nokkur umræða spannst um lögin og var ljóst að það þyrfti frekari breytingar á þeim til að þau yrðu skýrari og markvissari. Sett var á fót laganefnd sem skyldi skila tillögum að nýjum lögum félagsins. </w:t>
      </w:r>
      <w:r>
        <w:rPr>
          <w:lang w:val="is-IS"/>
        </w:rPr>
        <w:t>Í nefndina voru skipuð Elvar Ástráðsson, Ásta Ósk Hlöðversdóttir og Hrefna Karítas Sigurjónsdóttir</w:t>
      </w:r>
      <w:r>
        <w:rPr/>
        <w:t>. Þau skiluðu drögum í desember sem voru svo kynnt félagsmönnum á vefsíðu félagsins og á félagsfundi í janúar. Lagabreytingarnar voru svo lagðar fram löglega fyrir aðalfund félagsins 2015.</w:t>
      </w:r>
    </w:p>
    <w:p>
      <w:pPr>
        <w:pStyle w:val="Normal"/>
        <w:rPr/>
      </w:pPr>
      <w:r>
        <w:rPr/>
      </w:r>
    </w:p>
    <w:p>
      <w:pPr>
        <w:pStyle w:val="Normal"/>
        <w:rPr/>
      </w:pPr>
      <w:r>
        <w:rPr/>
        <w:t xml:space="preserve">Af annarri starfsemi má nefna að félagið stóð fyrir bókapöntun frá Amazon í Bandaríkjunum. Hugmyndin var að fá fram lægra verð með því að safna saman kaupendum og njóta stærðarhagkvæmni. Því miður var ekki mikill áhugi á þessu framtaki og einungis einn </w:t>
      </w:r>
      <w:r>
        <w:rPr>
          <w:lang w:val="is-IS"/>
        </w:rPr>
        <w:t xml:space="preserve">félagsmaður </w:t>
      </w:r>
      <w:r>
        <w:rPr/>
        <w:t xml:space="preserve">nýtti sér þetta. </w:t>
      </w:r>
    </w:p>
    <w:p>
      <w:pPr>
        <w:pStyle w:val="Normal"/>
        <w:rPr/>
      </w:pPr>
      <w:r>
        <w:rPr/>
      </w:r>
    </w:p>
    <w:p>
      <w:pPr>
        <w:pStyle w:val="Normal"/>
        <w:rPr/>
      </w:pPr>
      <w:r>
        <w:rPr/>
        <w:t>Skör var gerð í betri kynningarmálum. Dagatal á Google var sett upp sem allir gátu tengt við snjallsíma sína og fengið þannig sjálfkrafa uppfærslur á viðburðum Fágunar. Þá var stofnuð Facebook síða Fágunar sem var notuð til að miðla upplýsingum um viðburði Fágunar og annað fræðslu- og skemmtiefni. Vefur Fágunar var lagfærður lítillega til að gera hann markvissari, flokkar endurskipulagðir og nýir búnir til.</w:t>
      </w:r>
    </w:p>
    <w:p>
      <w:pPr>
        <w:pStyle w:val="Normal"/>
        <w:rPr/>
      </w:pPr>
      <w:r>
        <w:rPr/>
      </w:r>
    </w:p>
    <w:p>
      <w:pPr>
        <w:pStyle w:val="Normal"/>
        <w:rPr/>
      </w:pPr>
      <w:r>
        <w:rPr/>
        <w:t xml:space="preserve">Sá sem þetta flytur setti fram stefnuskrá þegar hann bauð sig fram til formanns á aðalfundi 2014. Að framan hefur margt verið reifað sem þar var sett fram sem markmið á árinu. Sumt gekk vel, annað miður, eins og gengur. </w:t>
      </w:r>
    </w:p>
    <w:p>
      <w:pPr>
        <w:pStyle w:val="Normal"/>
        <w:rPr/>
      </w:pPr>
      <w:r>
        <w:rPr/>
      </w:r>
    </w:p>
    <w:p>
      <w:pPr>
        <w:pStyle w:val="Normal"/>
        <w:rPr/>
      </w:pPr>
      <w:r>
        <w:rPr/>
        <w:t xml:space="preserve">Önnur mál sem stefnt var að voru heimsóknir til félagsmanna og bruggara úti á landi. Tveir stjórnarmenn fóru til suðurnesja og hittu hóp félagsmanna þar í septmber. Var það mjög ánægjuleg og fróðleg heimsókn. Því miður þá reyndist ekki unnt að gera samsvarandi ferðir til vestfjarða og norðurlands. </w:t>
      </w:r>
    </w:p>
    <w:p>
      <w:pPr>
        <w:pStyle w:val="Normal"/>
        <w:rPr/>
      </w:pPr>
      <w:r>
        <w:rPr/>
      </w:r>
    </w:p>
    <w:p>
      <w:pPr>
        <w:pStyle w:val="Normal"/>
        <w:rPr/>
      </w:pPr>
      <w:r>
        <w:rPr/>
        <w:t>Reynt var að hefja konur innan félagsins til meiri áhrifa og sýnileika. Í stórn starfaði kona í fyrsta sinn, auk þess sem önnur kona var í laganefnd. Þá var kona í óopinberum hóp Fágunarmanna í bjórsmökkunum í Fréttatímanum. Þó greiddu einungis 4 konur félagsgjöld árið 2014, eða 9% félagsmanna. Samstarf komst á við Félags íslenskra bjóráhugakvenna. Þær skipuðu 2 dómara í dómnefnd á Gorhátið. Það er ljóst að það er mikill áhugi hjá konum þar á bjór og frekari samstarfi við Fágun.</w:t>
      </w:r>
    </w:p>
    <w:p>
      <w:pPr>
        <w:pStyle w:val="Normal"/>
        <w:rPr/>
      </w:pPr>
      <w:r>
        <w:rPr/>
      </w:r>
    </w:p>
    <w:p>
      <w:pPr>
        <w:pStyle w:val="Normal"/>
        <w:rPr/>
      </w:pPr>
      <w:r>
        <w:rPr/>
        <w:t xml:space="preserve">Því miður gafst ekki svigrúm til að hefja samstarf með erlendum </w:t>
      </w:r>
      <w:r>
        <w:rPr>
          <w:lang w:val="is-IS"/>
        </w:rPr>
        <w:t xml:space="preserve">systurfélögum </w:t>
      </w:r>
      <w:r>
        <w:rPr/>
        <w:t>eða fá hingað erlendan fyrirlesara, en þau mál verða eflaust viðfangsefni stórna Fágunar í framtíðinni.</w:t>
      </w:r>
    </w:p>
    <w:p>
      <w:pPr>
        <w:pStyle w:val="Normal"/>
        <w:rPr/>
      </w:pPr>
      <w:r>
        <w:rPr/>
      </w:r>
    </w:p>
    <w:p>
      <w:pPr>
        <w:pStyle w:val="Normal"/>
        <w:rPr/>
      </w:pPr>
      <w:r>
        <w:rPr/>
        <w:t>Reykjavík 25. febrúar 2015</w:t>
      </w:r>
    </w:p>
    <w:p>
      <w:pPr>
        <w:pStyle w:val="Normal"/>
        <w:rPr/>
      </w:pPr>
      <w:r>
        <w:rPr/>
      </w:r>
    </w:p>
    <w:p>
      <w:pPr>
        <w:pStyle w:val="Normal"/>
        <w:rPr/>
      </w:pPr>
      <w:r>
        <w:rPr/>
        <w:t>Sigurður Snorrason, formaður Fágunar 2015</w:t>
      </w:r>
    </w:p>
    <w:p>
      <w:pPr>
        <w:pStyle w:val="Normal"/>
        <w:rPr/>
      </w:pPr>
      <w:r>
        <w:rPr/>
      </w:r>
    </w:p>
    <w:sectPr>
      <w:type w:val="nextPage"/>
      <w:pgSz w:w="11906" w:h="16838"/>
      <w:pgMar w:left="1800" w:right="1800" w:header="0" w:top="1440" w:footer="0" w:bottom="1440"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Lucida Grande">
    <w:charset w:val="01"/>
    <w:family w:val="roman"/>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50"/>
  <w:defaultTabStop w:val="720"/>
</w:settings>
</file>

<file path=word/styles.xml><?xml version="1.0" encoding="utf-8"?>
<w:styles xmlns:w="http://schemas.openxmlformats.org/wordprocessingml/2006/main">
  <w:docDefaults>
    <w:rPrDefault>
      <w:rPr>
        <w:rFonts w:ascii="Cambria" w:hAnsi="Cambria" w:eastAsia="WenQuanYi Zen Hei Sharp" w:cs=""/>
        <w:sz w:val="24"/>
        <w:szCs w:val="24"/>
        <w:lang w:val="en-US" w:eastAsia="en-US" w:bidi="ar-SA"/>
      </w:rPr>
    </w:rPrDefault>
    <w:pPrDefault>
      <w:pPr/>
    </w:pPrDefault>
  </w:docDefaults>
  <w:latentStyles w:count="276" w:defUnhideWhenUsed="1" w:defSemiHidden="1" w:defUIPriority="99" w:defQFormat="0" w:defLockedState="0">
    <w:lsdException w:qFormat="1" w:unhideWhenUsed="0" w:semiHidden="0" w:uiPriority="0" w:name="Normal"/>
    <w:lsdException w:qFormat="1" w:unhideWhenUsed="0" w:semiHidden="0"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unhideWhenUsed="0" w:semiHidden="0" w:uiPriority="10" w:name="Title"/>
    <w:lsdException w:uiPriority="1" w:name="Default Paragraph Font"/>
    <w:lsdException w:qFormat="1" w:unhideWhenUsed="0" w:semiHidden="0" w:uiPriority="11" w:name="Subtitle"/>
    <w:lsdException w:qFormat="1" w:unhideWhenUsed="0" w:semiHidden="0" w:uiPriority="22" w:name="Strong"/>
    <w:lsdException w:qFormat="1" w:unhideWhenUsed="0" w:semiHidden="0" w:uiPriority="20" w:name="Emphasis"/>
    <w:lsdException w:unhideWhenUsed="0" w:semiHidden="0" w:uiPriority="59" w:name="Table Grid"/>
    <w:lsdException w:unhideWhenUsed="0" w:name="Placeholder Text"/>
    <w:lsdException w:qFormat="1" w:unhideWhenUsed="0" w:semiHidden="0" w:uiPriority="1" w:name="No Spacing"/>
    <w:lsdException w:unhideWhenUsed="0" w:semiHidden="0" w:uiPriority="60" w:name="Light Shading"/>
    <w:lsdException w:unhideWhenUsed="0" w:semiHidden="0" w:uiPriority="61" w:name="Light List"/>
    <w:lsdException w:unhideWhenUsed="0" w:semiHidden="0" w:uiPriority="62" w:name="Light Grid"/>
    <w:lsdException w:unhideWhenUsed="0" w:semiHidden="0" w:uiPriority="63" w:name="Medium Shading 1"/>
    <w:lsdException w:unhideWhenUsed="0" w:semiHidden="0" w:uiPriority="64" w:name="Medium Shading 2"/>
    <w:lsdException w:unhideWhenUsed="0" w:semiHidden="0" w:uiPriority="65" w:name="Medium List 1"/>
    <w:lsdException w:unhideWhenUsed="0" w:semiHidden="0" w:uiPriority="66" w:name="Medium List 2"/>
    <w:lsdException w:unhideWhenUsed="0" w:semiHidden="0" w:uiPriority="67" w:name="Medium Grid 1"/>
    <w:lsdException w:unhideWhenUsed="0" w:semiHidden="0" w:uiPriority="68" w:name="Medium Grid 2"/>
    <w:lsdException w:unhideWhenUsed="0" w:semiHidden="0" w:uiPriority="69" w:name="Medium Grid 3"/>
    <w:lsdException w:unhideWhenUsed="0" w:semiHidden="0" w:uiPriority="70" w:name="Dark List"/>
    <w:lsdException w:unhideWhenUsed="0" w:semiHidden="0" w:uiPriority="71" w:name="Colorful Shading"/>
    <w:lsdException w:unhideWhenUsed="0" w:semiHidden="0" w:uiPriority="72" w:name="Colorful List"/>
    <w:lsdException w:unhideWhenUsed="0" w:semiHidden="0" w:uiPriority="73" w:name="Colorful Grid"/>
    <w:lsdException w:unhideWhenUsed="0" w:semiHidden="0" w:uiPriority="60" w:name="Light Shading Accent 1"/>
    <w:lsdException w:unhideWhenUsed="0" w:semiHidden="0" w:uiPriority="61" w:name="Light List Accent 1"/>
    <w:lsdException w:unhideWhenUsed="0" w:semiHidden="0" w:uiPriority="62" w:name="Light Grid Accent 1"/>
    <w:lsdException w:unhideWhenUsed="0" w:semiHidden="0" w:uiPriority="63" w:name="Medium Shading 1 Accent 1"/>
    <w:lsdException w:unhideWhenUsed="0" w:semiHidden="0" w:uiPriority="64" w:name="Medium Shading 2 Accent 1"/>
    <w:lsdException w:unhideWhenUsed="0" w:semiHidden="0" w:uiPriority="65" w:name="Medium List 1 Accent 1"/>
    <w:lsdException w:unhideWhenUsed="0" w:name="Revision"/>
    <w:lsdException w:qFormat="1" w:unhideWhenUsed="0" w:semiHidden="0" w:uiPriority="34" w:name="List Paragraph"/>
    <w:lsdException w:qFormat="1" w:unhideWhenUsed="0" w:semiHidden="0" w:uiPriority="29" w:name="Quote"/>
    <w:lsdException w:qFormat="1" w:unhideWhenUsed="0" w:semiHidden="0" w:uiPriority="30" w:name="Intense Quote"/>
    <w:lsdException w:unhideWhenUsed="0" w:semiHidden="0" w:uiPriority="66" w:name="Medium List 2 Accent 1"/>
    <w:lsdException w:unhideWhenUsed="0" w:semiHidden="0" w:uiPriority="67" w:name="Medium Grid 1 Accent 1"/>
    <w:lsdException w:unhideWhenUsed="0" w:semiHidden="0" w:uiPriority="68" w:name="Medium Grid 2 Accent 1"/>
    <w:lsdException w:unhideWhenUsed="0" w:semiHidden="0" w:uiPriority="69" w:name="Medium Grid 3 Accent 1"/>
    <w:lsdException w:unhideWhenUsed="0" w:semiHidden="0" w:uiPriority="70" w:name="Dark List Accent 1"/>
    <w:lsdException w:unhideWhenUsed="0" w:semiHidden="0" w:uiPriority="71" w:name="Colorful Shading Accent 1"/>
    <w:lsdException w:unhideWhenUsed="0" w:semiHidden="0" w:uiPriority="72" w:name="Colorful List Accent 1"/>
    <w:lsdException w:unhideWhenUsed="0" w:semiHidden="0" w:uiPriority="73" w:name="Colorful Grid Accent 1"/>
    <w:lsdException w:unhideWhenUsed="0" w:semiHidden="0" w:uiPriority="60" w:name="Light Shading Accent 2"/>
    <w:lsdException w:unhideWhenUsed="0" w:semiHidden="0" w:uiPriority="61" w:name="Light List Accent 2"/>
    <w:lsdException w:unhideWhenUsed="0" w:semiHidden="0" w:uiPriority="62" w:name="Light Grid Accent 2"/>
    <w:lsdException w:unhideWhenUsed="0" w:semiHidden="0" w:uiPriority="63" w:name="Medium Shading 1 Accent 2"/>
    <w:lsdException w:unhideWhenUsed="0" w:semiHidden="0" w:uiPriority="64" w:name="Medium Shading 2 Accent 2"/>
    <w:lsdException w:unhideWhenUsed="0" w:semiHidden="0" w:uiPriority="65" w:name="Medium List 1 Accent 2"/>
    <w:lsdException w:unhideWhenUsed="0" w:semiHidden="0" w:uiPriority="66" w:name="Medium List 2 Accent 2"/>
    <w:lsdException w:unhideWhenUsed="0" w:semiHidden="0" w:uiPriority="67" w:name="Medium Grid 1 Accent 2"/>
    <w:lsdException w:unhideWhenUsed="0" w:semiHidden="0" w:uiPriority="68" w:name="Medium Grid 2 Accent 2"/>
    <w:lsdException w:unhideWhenUsed="0" w:semiHidden="0" w:uiPriority="69" w:name="Medium Grid 3 Accent 2"/>
    <w:lsdException w:unhideWhenUsed="0" w:semiHidden="0" w:uiPriority="70" w:name="Dark List Accent 2"/>
    <w:lsdException w:unhideWhenUsed="0" w:semiHidden="0" w:uiPriority="71" w:name="Colorful Shading Accent 2"/>
    <w:lsdException w:unhideWhenUsed="0" w:semiHidden="0" w:uiPriority="72" w:name="Colorful List Accent 2"/>
    <w:lsdException w:unhideWhenUsed="0" w:semiHidden="0" w:uiPriority="73" w:name="Colorful Grid Accent 2"/>
    <w:lsdException w:unhideWhenUsed="0" w:semiHidden="0" w:uiPriority="60" w:name="Light Shading Accent 3"/>
    <w:lsdException w:unhideWhenUsed="0" w:semiHidden="0" w:uiPriority="61" w:name="Light List Accent 3"/>
    <w:lsdException w:unhideWhenUsed="0" w:semiHidden="0" w:uiPriority="62" w:name="Light Grid Accent 3"/>
    <w:lsdException w:unhideWhenUsed="0" w:semiHidden="0" w:uiPriority="63" w:name="Medium Shading 1 Accent 3"/>
    <w:lsdException w:unhideWhenUsed="0" w:semiHidden="0" w:uiPriority="64" w:name="Medium Shading 2 Accent 3"/>
    <w:lsdException w:unhideWhenUsed="0" w:semiHidden="0" w:uiPriority="65" w:name="Medium List 1 Accent 3"/>
    <w:lsdException w:unhideWhenUsed="0" w:semiHidden="0" w:uiPriority="66" w:name="Medium List 2 Accent 3"/>
    <w:lsdException w:unhideWhenUsed="0" w:semiHidden="0" w:uiPriority="67" w:name="Medium Grid 1 Accent 3"/>
    <w:lsdException w:unhideWhenUsed="0" w:semiHidden="0" w:uiPriority="68" w:name="Medium Grid 2 Accent 3"/>
    <w:lsdException w:unhideWhenUsed="0" w:semiHidden="0" w:uiPriority="69" w:name="Medium Grid 3 Accent 3"/>
    <w:lsdException w:unhideWhenUsed="0" w:semiHidden="0" w:uiPriority="70" w:name="Dark List Accent 3"/>
    <w:lsdException w:unhideWhenUsed="0" w:semiHidden="0" w:uiPriority="71" w:name="Colorful Shading Accent 3"/>
    <w:lsdException w:unhideWhenUsed="0" w:semiHidden="0" w:uiPriority="72" w:name="Colorful List Accent 3"/>
    <w:lsdException w:unhideWhenUsed="0" w:semiHidden="0" w:uiPriority="73" w:name="Colorful Grid Accent 3"/>
    <w:lsdException w:unhideWhenUsed="0" w:semiHidden="0" w:uiPriority="60" w:name="Light Shading Accent 4"/>
    <w:lsdException w:unhideWhenUsed="0" w:semiHidden="0" w:uiPriority="61" w:name="Light List Accent 4"/>
    <w:lsdException w:unhideWhenUsed="0" w:semiHidden="0" w:uiPriority="62" w:name="Light Grid Accent 4"/>
    <w:lsdException w:unhideWhenUsed="0" w:semiHidden="0" w:uiPriority="63" w:name="Medium Shading 1 Accent 4"/>
    <w:lsdException w:unhideWhenUsed="0" w:semiHidden="0" w:uiPriority="64" w:name="Medium Shading 2 Accent 4"/>
    <w:lsdException w:unhideWhenUsed="0" w:semiHidden="0" w:uiPriority="65" w:name="Medium List 1 Accent 4"/>
    <w:lsdException w:unhideWhenUsed="0" w:semiHidden="0" w:uiPriority="66" w:name="Medium List 2 Accent 4"/>
    <w:lsdException w:unhideWhenUsed="0" w:semiHidden="0" w:uiPriority="67" w:name="Medium Grid 1 Accent 4"/>
    <w:lsdException w:unhideWhenUsed="0" w:semiHidden="0" w:uiPriority="68" w:name="Medium Grid 2 Accent 4"/>
    <w:lsdException w:unhideWhenUsed="0" w:semiHidden="0" w:uiPriority="69" w:name="Medium Grid 3 Accent 4"/>
    <w:lsdException w:unhideWhenUsed="0" w:semiHidden="0" w:uiPriority="70" w:name="Dark List Accent 4"/>
    <w:lsdException w:unhideWhenUsed="0" w:semiHidden="0" w:uiPriority="71" w:name="Colorful Shading Accent 4"/>
    <w:lsdException w:unhideWhenUsed="0" w:semiHidden="0" w:uiPriority="72" w:name="Colorful List Accent 4"/>
    <w:lsdException w:unhideWhenUsed="0" w:semiHidden="0" w:uiPriority="73" w:name="Colorful Grid Accent 4"/>
    <w:lsdException w:unhideWhenUsed="0" w:semiHidden="0" w:uiPriority="60" w:name="Light Shading Accent 5"/>
    <w:lsdException w:unhideWhenUsed="0" w:semiHidden="0" w:uiPriority="61" w:name="Light List Accent 5"/>
    <w:lsdException w:unhideWhenUsed="0" w:semiHidden="0" w:uiPriority="62" w:name="Light Grid Accent 5"/>
    <w:lsdException w:unhideWhenUsed="0" w:semiHidden="0" w:uiPriority="63" w:name="Medium Shading 1 Accent 5"/>
    <w:lsdException w:unhideWhenUsed="0" w:semiHidden="0" w:uiPriority="64" w:name="Medium Shading 2 Accent 5"/>
    <w:lsdException w:unhideWhenUsed="0" w:semiHidden="0" w:uiPriority="65" w:name="Medium List 1 Accent 5"/>
    <w:lsdException w:unhideWhenUsed="0" w:semiHidden="0" w:uiPriority="66" w:name="Medium List 2 Accent 5"/>
    <w:lsdException w:unhideWhenUsed="0" w:semiHidden="0" w:uiPriority="67" w:name="Medium Grid 1 Accent 5"/>
    <w:lsdException w:unhideWhenUsed="0" w:semiHidden="0" w:uiPriority="68" w:name="Medium Grid 2 Accent 5"/>
    <w:lsdException w:unhideWhenUsed="0" w:semiHidden="0" w:uiPriority="69" w:name="Medium Grid 3 Accent 5"/>
    <w:lsdException w:unhideWhenUsed="0" w:semiHidden="0" w:uiPriority="70" w:name="Dark List Accent 5"/>
    <w:lsdException w:unhideWhenUsed="0" w:semiHidden="0" w:uiPriority="71" w:name="Colorful Shading Accent 5"/>
    <w:lsdException w:unhideWhenUsed="0" w:semiHidden="0" w:uiPriority="72" w:name="Colorful List Accent 5"/>
    <w:lsdException w:unhideWhenUsed="0" w:semiHidden="0" w:uiPriority="73" w:name="Colorful Grid Accent 5"/>
    <w:lsdException w:unhideWhenUsed="0" w:semiHidden="0" w:uiPriority="60" w:name="Light Shading Accent 6"/>
    <w:lsdException w:unhideWhenUsed="0" w:semiHidden="0" w:uiPriority="61" w:name="Light List Accent 6"/>
    <w:lsdException w:unhideWhenUsed="0" w:semiHidden="0" w:uiPriority="62" w:name="Light Grid Accent 6"/>
    <w:lsdException w:unhideWhenUsed="0" w:semiHidden="0" w:uiPriority="63" w:name="Medium Shading 1 Accent 6"/>
    <w:lsdException w:unhideWhenUsed="0" w:semiHidden="0" w:uiPriority="64" w:name="Medium Shading 2 Accent 6"/>
    <w:lsdException w:unhideWhenUsed="0" w:semiHidden="0" w:uiPriority="65" w:name="Medium List 1 Accent 6"/>
    <w:lsdException w:unhideWhenUsed="0" w:semiHidden="0" w:uiPriority="66" w:name="Medium List 2 Accent 6"/>
    <w:lsdException w:unhideWhenUsed="0" w:semiHidden="0" w:uiPriority="67" w:name="Medium Grid 1 Accent 6"/>
    <w:lsdException w:unhideWhenUsed="0" w:semiHidden="0" w:uiPriority="68" w:name="Medium Grid 2 Accent 6"/>
    <w:lsdException w:unhideWhenUsed="0" w:semiHidden="0" w:uiPriority="69" w:name="Medium Grid 3 Accent 6"/>
    <w:lsdException w:unhideWhenUsed="0" w:semiHidden="0" w:uiPriority="70" w:name="Dark List Accent 6"/>
    <w:lsdException w:unhideWhenUsed="0" w:semiHidden="0" w:uiPriority="71" w:name="Colorful Shading Accent 6"/>
    <w:lsdException w:unhideWhenUsed="0" w:semiHidden="0" w:uiPriority="72" w:name="Colorful List Accent 6"/>
    <w:lsdException w:unhideWhenUsed="0" w:semiHidden="0" w:uiPriority="73" w:name="Colorful Grid Accent 6"/>
    <w:lsdException w:qFormat="1" w:unhideWhenUsed="0" w:semiHidden="0" w:uiPriority="19" w:name="Subtle Emphasis"/>
    <w:lsdException w:qFormat="1" w:unhideWhenUsed="0" w:semiHidden="0" w:uiPriority="21" w:name="Intense Emphasis"/>
    <w:lsdException w:qFormat="1" w:unhideWhenUsed="0" w:semiHidden="0" w:uiPriority="31" w:name="Subtle Reference"/>
    <w:lsdException w:qFormat="1" w:unhideWhenUsed="0" w:semiHidden="0" w:uiPriority="32" w:name="Intense Reference"/>
    <w:lsdException w:qFormat="1" w:unhideWhenUsed="0" w:semiHidden="0" w:uiPriority="33" w:name="Book Title"/>
    <w:lsdException w:uiPriority="37" w:name="Bibliography"/>
    <w:lsdException w:qFormat="1" w:uiPriority="39" w:name="TOC Heading"/>
  </w:latentStyles>
  <w:style w:type="paragraph" w:styleId="Normal" w:default="1">
    <w:name w:val="Normal"/>
    <w:qFormat/>
    <w:pPr>
      <w:widowControl/>
      <w:suppressAutoHyphens w:val="true"/>
      <w:bidi w:val="0"/>
      <w:jc w:val="left"/>
    </w:pPr>
    <w:rPr>
      <w:rFonts w:ascii="Cambria" w:hAnsi="Cambria" w:eastAsia="WenQuanYi Zen Hei Sharp" w:cs=""/>
      <w:color w:val="auto"/>
      <w:sz w:val="24"/>
      <w:szCs w:val="24"/>
      <w:lang w:val="en-US" w:eastAsia="en-US" w:bidi="ar-SA"/>
    </w:rPr>
  </w:style>
  <w:style w:type="character" w:styleId="DefaultParagraphFont" w:default="1">
    <w:name w:val="Default Paragraph Font"/>
    <w:uiPriority w:val="1"/>
    <w:semiHidden/>
    <w:unhideWhenUsed/>
    <w:rPr/>
  </w:style>
  <w:style w:type="character" w:styleId="Annotationreference">
    <w:name w:val="annotation reference"/>
    <w:uiPriority w:val="99"/>
    <w:semiHidden/>
    <w:unhideWhenUsed/>
    <w:rsid w:val="00bd237e"/>
    <w:basedOn w:val="DefaultParagraphFont"/>
    <w:rPr>
      <w:sz w:val="16"/>
      <w:szCs w:val="16"/>
    </w:rPr>
  </w:style>
  <w:style w:type="character" w:styleId="CommentTextChar" w:customStyle="1">
    <w:name w:val="Comment Text Char"/>
    <w:uiPriority w:val="99"/>
    <w:semiHidden/>
    <w:link w:val="CommentText"/>
    <w:rsid w:val="00bd237e"/>
    <w:basedOn w:val="DefaultParagraphFont"/>
    <w:rPr>
      <w:sz w:val="20"/>
      <w:szCs w:val="20"/>
    </w:rPr>
  </w:style>
  <w:style w:type="character" w:styleId="BalloonTextChar" w:customStyle="1">
    <w:name w:val="Balloon Text Char"/>
    <w:uiPriority w:val="99"/>
    <w:semiHidden/>
    <w:link w:val="BalloonText"/>
    <w:rsid w:val="00bd237e"/>
    <w:basedOn w:val="DefaultParagraphFont"/>
    <w:rPr>
      <w:rFonts w:ascii="Lucida Grande" w:hAnsi="Lucida Grande" w:cs="Lucida Grande"/>
      <w:sz w:val="18"/>
      <w:szCs w:val="18"/>
    </w:rPr>
  </w:style>
  <w:style w:type="paragraph" w:styleId="Heading">
    <w:name w:val="Heading"/>
    <w:basedOn w:val="Normal"/>
    <w:next w:val="TextBody"/>
    <w:pPr>
      <w:keepNext/>
      <w:spacing w:before="240" w:after="120"/>
    </w:pPr>
    <w:rPr>
      <w:rFonts w:ascii="Liberation Sans" w:hAnsi="Liberation Sans" w:eastAsia="WenQuanYi Zen Hei Sharp" w:cs="Lohit Devanagari"/>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Lohit Devanagari"/>
    </w:rPr>
  </w:style>
  <w:style w:type="paragraph" w:styleId="Caption">
    <w:name w:val="Caption"/>
    <w:basedOn w:val="Normal"/>
    <w:pPr>
      <w:suppressLineNumbers/>
      <w:spacing w:before="120" w:after="120"/>
    </w:pPr>
    <w:rPr>
      <w:rFonts w:cs="Lohit Devanagari"/>
      <w:i/>
      <w:iCs/>
      <w:sz w:val="24"/>
      <w:szCs w:val="24"/>
    </w:rPr>
  </w:style>
  <w:style w:type="paragraph" w:styleId="Index">
    <w:name w:val="Index"/>
    <w:basedOn w:val="Normal"/>
    <w:pPr>
      <w:suppressLineNumbers/>
    </w:pPr>
    <w:rPr>
      <w:rFonts w:cs="Lohit Devanagari"/>
    </w:rPr>
  </w:style>
  <w:style w:type="paragraph" w:styleId="Annotationtext">
    <w:name w:val="annotation text"/>
    <w:uiPriority w:val="99"/>
    <w:semiHidden/>
    <w:unhideWhenUsed/>
    <w:link w:val="CommentTextChar"/>
    <w:rsid w:val="00bd237e"/>
    <w:basedOn w:val="Normal"/>
    <w:pPr/>
    <w:rPr>
      <w:sz w:val="20"/>
      <w:szCs w:val="20"/>
    </w:rPr>
  </w:style>
  <w:style w:type="paragraph" w:styleId="BalloonText">
    <w:name w:val="Balloon Text"/>
    <w:uiPriority w:val="99"/>
    <w:semiHidden/>
    <w:unhideWhenUsed/>
    <w:link w:val="BalloonTextChar"/>
    <w:rsid w:val="00bd237e"/>
    <w:basedOn w:val="Normal"/>
    <w:pPr/>
    <w:rPr>
      <w:rFonts w:ascii="Lucida Grande" w:hAnsi="Lucida Grande" w:cs="Lucida Grande"/>
      <w:sz w:val="18"/>
      <w:szCs w:val="18"/>
    </w:rPr>
  </w:style>
  <w:style w:type="numbering" w:styleId="NoList" w:default="1">
    <w:name w:val="No List"/>
    <w:uiPriority w:val="99"/>
    <w:semiHidden/>
    <w:unhideWhenUsed/>
  </w:style>
  <w:style w:type="table" w:default="1" w:styleId="TableNormal">
    <w:name w:val="Normal Table"/>
    <w:uiPriority w:val="99"/>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TotalTime>
  <Application>Microsoft Macintosh Word</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2015-02-23T10:43:00Z</dcterms:created>
  <dc:creator>Sigurdur Snorrason</dc:creator>
  <dc:language>en-US</dc:language>
  <cp:lastModifiedBy>Sigurdur Snorrason</cp:lastModifiedBy>
  <dcterms:modified xsi:type="dcterms:W3CDTF">2015-02-24T15:33:00Z</dcterms:modified>
  <cp:revision>42</cp:revision>
</cp:coreProperties>
</file>